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E3" w:rsidRDefault="00EE40E3">
      <w:pPr>
        <w:rPr>
          <w:lang w:val="en-US"/>
        </w:rPr>
      </w:pPr>
    </w:p>
    <w:p w:rsidR="00690BCA" w:rsidRPr="00690BCA" w:rsidRDefault="00690BCA" w:rsidP="00690BCA">
      <w:pPr>
        <w:jc w:val="center"/>
        <w:rPr>
          <w:rFonts w:ascii="Times New Roman" w:hAnsi="Times New Roman" w:cs="Times New Roman"/>
          <w:sz w:val="28"/>
          <w:szCs w:val="28"/>
        </w:rPr>
      </w:pPr>
      <w:r w:rsidRPr="00690BCA">
        <w:rPr>
          <w:rFonts w:ascii="Times New Roman" w:hAnsi="Times New Roman" w:cs="Times New Roman"/>
          <w:sz w:val="28"/>
          <w:szCs w:val="28"/>
        </w:rPr>
        <w:t>В нашу сенсорную комнату поступило много нового оборудования для развития моторики, познавательных способностей, речи, причинно-следственных связей, сенсорного развития учеников.</w:t>
      </w:r>
    </w:p>
    <w:p w:rsidR="00690BCA" w:rsidRDefault="00690BCA" w:rsidP="00690BCA">
      <w:pPr>
        <w:jc w:val="center"/>
        <w:rPr>
          <w:rFonts w:ascii="Times New Roman" w:hAnsi="Times New Roman" w:cs="Times New Roman"/>
          <w:sz w:val="24"/>
          <w:szCs w:val="24"/>
        </w:rPr>
      </w:pPr>
      <w:r w:rsidRPr="00EC7AA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  <w:t>1</w:t>
      </w:r>
      <w:r w:rsidRPr="00EC7AA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val="en-US" w:eastAsia="ru-RU"/>
        </w:rPr>
        <w:t>.</w:t>
      </w:r>
      <w:r w:rsidRPr="00F7542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  <w:t>Тактильная игра "Рисуем на песке": базовый комплект</w:t>
      </w:r>
      <w:r w:rsidRPr="00EC7AA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  <w:t>.</w:t>
      </w:r>
    </w:p>
    <w:p w:rsidR="00690BCA" w:rsidRPr="00690BCA" w:rsidRDefault="00690BCA" w:rsidP="00690BCA">
      <w:pPr>
        <w:jc w:val="center"/>
        <w:rPr>
          <w:rFonts w:ascii="Times New Roman" w:hAnsi="Times New Roman" w:cs="Times New Roman"/>
          <w:sz w:val="24"/>
          <w:szCs w:val="24"/>
        </w:rPr>
      </w:pPr>
      <w:r w:rsidRPr="00F754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Данный вид творчества с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тимулирует ускоренное развитие мышления, </w:t>
      </w:r>
      <w:r w:rsidRPr="00F754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речи ребенка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задержкой психического развития и умственной отсталостью. П</w:t>
      </w:r>
      <w:r w:rsidRPr="00F754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 работе с песком происходит колоссальное изменение образного и образно - логического мышления ребенка.</w:t>
      </w:r>
      <w:r w:rsidRPr="00F754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754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Сама текстура песка дает возможность для развития у детей координации движений рук, пальчиков во время рисования. Пересыпание песка из ладошки в ладошку, захват песка в кулачок, выравнивание песка на стекле - все эти движения непроизвольно влияют на развитие ребенка.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Учащиеся развивают ловкость рук и пальцев, мелкую моторику.</w:t>
      </w:r>
    </w:p>
    <w:p w:rsidR="00690BCA" w:rsidRDefault="00690BCA" w:rsidP="007A7DE4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90BCA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Очень полезно рисование песком гиперактивным детям.</w:t>
      </w:r>
      <w:r w:rsidRPr="00EC7AA1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EC7A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Занимаясь таким видом рисования, ребенок успокаивается, освобожд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ается от «лишней» энергии, учит</w:t>
      </w:r>
      <w:r w:rsidRPr="00EC7A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ся лучше понимать себя, своих друзей и родителей. Рисование песком дает ребенку возможность погрузиться в мир своих придумок, фантазий и воображений.</w:t>
      </w:r>
    </w:p>
    <w:p w:rsidR="00690BCA" w:rsidRDefault="00690BCA" w:rsidP="007A7DE4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Первоклассники </w:t>
      </w:r>
      <w:r w:rsidRPr="00EC7AA1">
        <w:rPr>
          <w:color w:val="000000" w:themeColor="text1"/>
        </w:rPr>
        <w:t>могут создавать простейшие рисунки, рисуя пальчиками по равномерно насыпанному слою. При том, чтобы изменить рисунок не нужно ни ластика, ни нового листа, достаточно  просто провести пальчиком по песку.</w:t>
      </w:r>
      <w:r>
        <w:rPr>
          <w:color w:val="000000" w:themeColor="text1"/>
        </w:rPr>
        <w:t xml:space="preserve"> </w:t>
      </w:r>
      <w:r w:rsidRPr="00EC7AA1">
        <w:rPr>
          <w:color w:val="000000" w:themeColor="text1"/>
        </w:rPr>
        <w:t>Более старшие ребята смогут создавать картины</w:t>
      </w:r>
      <w:r>
        <w:rPr>
          <w:color w:val="000000" w:themeColor="text1"/>
        </w:rPr>
        <w:t>,</w:t>
      </w:r>
      <w:r w:rsidRPr="00EC7AA1">
        <w:rPr>
          <w:color w:val="000000" w:themeColor="text1"/>
        </w:rPr>
        <w:t xml:space="preserve"> используя технику насыпания песка для получения песчаной картины.</w:t>
      </w:r>
      <w:r>
        <w:rPr>
          <w:color w:val="000000" w:themeColor="text1"/>
        </w:rPr>
        <w:t xml:space="preserve"> </w:t>
      </w:r>
      <w:r w:rsidRPr="00EC7AA1">
        <w:rPr>
          <w:color w:val="000000" w:themeColor="text1"/>
        </w:rPr>
        <w:t>Рисование песком на стекле очень привлекает</w:t>
      </w:r>
      <w:r>
        <w:rPr>
          <w:color w:val="000000" w:themeColor="text1"/>
        </w:rPr>
        <w:t xml:space="preserve"> даже подростков, т.к. к</w:t>
      </w:r>
      <w:r w:rsidRPr="00EC7AA1">
        <w:rPr>
          <w:color w:val="000000" w:themeColor="text1"/>
        </w:rPr>
        <w:t xml:space="preserve">арандаши и краски </w:t>
      </w:r>
      <w:r>
        <w:rPr>
          <w:color w:val="000000" w:themeColor="text1"/>
        </w:rPr>
        <w:t>в этом возрасте чаще всего уже не актуальны.</w:t>
      </w:r>
    </w:p>
    <w:p w:rsidR="00690BCA" w:rsidRDefault="00690BCA" w:rsidP="00690BCA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 w:themeColor="text1"/>
          <w:lang w:val="en-US"/>
        </w:rPr>
      </w:pPr>
      <w:bookmarkStart w:id="0" w:name="_GoBack"/>
      <w:r>
        <w:rPr>
          <w:noProof/>
          <w:color w:val="000000" w:themeColor="text1"/>
        </w:rPr>
        <w:drawing>
          <wp:inline distT="0" distB="0" distL="0" distR="0">
            <wp:extent cx="5940425" cy="3341489"/>
            <wp:effectExtent l="0" t="0" r="3175" b="0"/>
            <wp:docPr id="1" name="Рисунок 1" descr="C:\Documents and Settings\Admin\Рабочий стол\Оборудование\20160122_111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Оборудование\20160122_11101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526FA" w:rsidRPr="00A526FA" w:rsidRDefault="00A526FA" w:rsidP="00690BCA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 w:themeColor="text1"/>
          <w:lang w:val="en-US"/>
        </w:rPr>
      </w:pPr>
      <w:r>
        <w:rPr>
          <w:noProof/>
          <w:color w:val="000000" w:themeColor="text1"/>
        </w:rPr>
        <w:lastRenderedPageBreak/>
        <w:drawing>
          <wp:inline distT="0" distB="0" distL="0" distR="0">
            <wp:extent cx="5940425" cy="3341489"/>
            <wp:effectExtent l="0" t="0" r="3175" b="0"/>
            <wp:docPr id="12" name="Рисунок 12" descr="C:\Documents and Settings\Admin\Рабочий стол\Оборудование\20160122_111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Оборудование\20160122_11113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223" w:rsidRDefault="00642223" w:rsidP="007C60D1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D0B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2.</w:t>
      </w:r>
      <w:r w:rsidRPr="00AD0BA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Дочки-Матери серии Lego Duplo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.</w:t>
      </w:r>
    </w:p>
    <w:p w:rsidR="00642223" w:rsidRDefault="00642223" w:rsidP="007A7DE4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набор входят куклы, изображающие людей разных национальностей, мужчин и женщин.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AD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Комплект Дочки-Матери позволяет вовлечь детей в ролевые игры и научить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младших школьников</w:t>
      </w:r>
      <w:r w:rsidRPr="00AD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понимать чувства других людей, быт, социальные роли и обязанности.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Конструктор помогает ребенку в игровой форме узнать о типичных ролях и моделях поведения в социуме и отдельно взятой семье, а так же приобрести важные жизненные навыки. В процессе игры развивается образное и логическое мышление, развивается мелкая моторика и концентрируется внимание. Набор идеально подходит для моделирования ситуаций, которые демонстрируют связь между матерью и ребенком (для детей из СОП Семей). В процессе игры с ребенком  обсуждаются вопросы соблюдения распорядка дня и необходимость помощи по дому.</w:t>
      </w:r>
    </w:p>
    <w:p w:rsidR="007A7DE4" w:rsidRPr="00E82D28" w:rsidRDefault="007A7DE4" w:rsidP="007A7DE4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C:\Documents and Settings\Admin\Рабочий стол\Оборудование\20160121_123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Оборудование\20160121_12303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BCA" w:rsidRDefault="007A7DE4" w:rsidP="007A7DE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3" name="Рисунок 3" descr="C:\Documents and Settings\Admin\Рабочий стол\Оборудование\20160121_123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Оборудование\20160121_12372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6FA" w:rsidRPr="00A526FA" w:rsidRDefault="00A526FA" w:rsidP="007A7DE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41489"/>
            <wp:effectExtent l="0" t="0" r="3175" b="0"/>
            <wp:docPr id="9" name="Рисунок 9" descr="C:\Documents and Settings\Admin\Рабочий стол\Оборудование\20160121_123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Оборудование\20160121_12302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DE4" w:rsidRPr="00E82D28" w:rsidRDefault="007A7DE4" w:rsidP="007A7DE4">
      <w:pPr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E82D28">
        <w:rPr>
          <w:rFonts w:ascii="Times New Roman" w:hAnsi="Times New Roman" w:cs="Times New Roman"/>
          <w:sz w:val="28"/>
          <w:szCs w:val="28"/>
          <w:u w:val="single"/>
        </w:rPr>
        <w:t xml:space="preserve">3.Тренажёр педальный </w:t>
      </w:r>
      <w:r w:rsidRPr="00E82D28">
        <w:rPr>
          <w:rFonts w:ascii="Times New Roman" w:hAnsi="Times New Roman" w:cs="Times New Roman"/>
          <w:sz w:val="28"/>
          <w:szCs w:val="28"/>
          <w:u w:val="single"/>
          <w:lang w:val="en-US"/>
        </w:rPr>
        <w:t>Belberg CF 09-8068.</w:t>
      </w:r>
    </w:p>
    <w:p w:rsidR="007A7DE4" w:rsidRDefault="007A7DE4" w:rsidP="007A7D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Чаще всего тренажёр применяется для детей с нарушением опорно-двигательного аппарата.</w:t>
      </w:r>
    </w:p>
    <w:p w:rsidR="007A7DE4" w:rsidRPr="00E82D28" w:rsidRDefault="007A7DE4" w:rsidP="007A7DE4">
      <w:pPr>
        <w:shd w:val="clear" w:color="auto" w:fill="FFFFFF"/>
        <w:spacing w:before="150" w:after="0" w:line="22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Другие п</w:t>
      </w:r>
      <w:r w:rsidRPr="00E82D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 применению</w:t>
      </w:r>
      <w:r w:rsidRPr="00E82D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:rsidR="007A7DE4" w:rsidRPr="00E82D28" w:rsidRDefault="007A7DE4" w:rsidP="007A7DE4">
      <w:pPr>
        <w:numPr>
          <w:ilvl w:val="0"/>
          <w:numId w:val="2"/>
        </w:numPr>
        <w:spacing w:after="150" w:line="240" w:lineRule="auto"/>
        <w:ind w:left="375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Мышечная недостаточность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A7DE4" w:rsidRPr="00E82D28" w:rsidRDefault="007A7DE4" w:rsidP="007A7DE4">
      <w:pPr>
        <w:numPr>
          <w:ilvl w:val="0"/>
          <w:numId w:val="2"/>
        </w:numPr>
        <w:spacing w:after="150" w:line="240" w:lineRule="auto"/>
        <w:ind w:left="375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Серьёзные проблемы кровообращения и в работе сердечно-сосудистой системы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A7DE4" w:rsidRPr="00E82D28" w:rsidRDefault="007A7DE4" w:rsidP="007A7DE4">
      <w:pPr>
        <w:numPr>
          <w:ilvl w:val="0"/>
          <w:numId w:val="2"/>
        </w:numPr>
        <w:spacing w:after="150" w:line="240" w:lineRule="auto"/>
        <w:ind w:left="375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Реабилитация после замещения коленного/тазобедренного сустава, других ортопедических оп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</w:t>
      </w:r>
      <w:r w:rsidRPr="00E8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аций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A7DE4" w:rsidRPr="00E82D28" w:rsidRDefault="007A7DE4" w:rsidP="007A7DE4">
      <w:pPr>
        <w:numPr>
          <w:ilvl w:val="0"/>
          <w:numId w:val="2"/>
        </w:numPr>
        <w:spacing w:after="150" w:line="240" w:lineRule="auto"/>
        <w:ind w:left="375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Нарушение опорно-двигательного аппарата</w:t>
      </w:r>
    </w:p>
    <w:p w:rsidR="007A7DE4" w:rsidRPr="00E82D28" w:rsidRDefault="007A7DE4" w:rsidP="007A7DE4">
      <w:pPr>
        <w:numPr>
          <w:ilvl w:val="0"/>
          <w:numId w:val="2"/>
        </w:numPr>
        <w:spacing w:after="150" w:line="240" w:lineRule="auto"/>
        <w:ind w:left="375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Параплегия верхних и нижних конечностей (после травмы позвоночника, дцп, инсульт и тд.)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A7DE4" w:rsidRPr="00E82D28" w:rsidRDefault="007A7DE4" w:rsidP="007A7DE4">
      <w:pPr>
        <w:jc w:val="center"/>
        <w:rPr>
          <w:rFonts w:ascii="Times New Roman" w:hAnsi="Times New Roman" w:cs="Times New Roman"/>
          <w:sz w:val="24"/>
          <w:szCs w:val="24"/>
        </w:rPr>
      </w:pPr>
      <w:r w:rsidRPr="00E82D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Ежедневные занятия на тренажере:</w:t>
      </w:r>
    </w:p>
    <w:p w:rsidR="007A7DE4" w:rsidRPr="00E82D28" w:rsidRDefault="007A7DE4" w:rsidP="007A7DE4">
      <w:pPr>
        <w:numPr>
          <w:ilvl w:val="0"/>
          <w:numId w:val="1"/>
        </w:numPr>
        <w:spacing w:after="150" w:line="240" w:lineRule="auto"/>
        <w:ind w:left="375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снижают спастичность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A7DE4" w:rsidRPr="00E82D28" w:rsidRDefault="007A7DE4" w:rsidP="007A7DE4">
      <w:pPr>
        <w:numPr>
          <w:ilvl w:val="0"/>
          <w:numId w:val="1"/>
        </w:numPr>
        <w:spacing w:after="150" w:line="240" w:lineRule="auto"/>
        <w:ind w:left="375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делают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школьника</w:t>
      </w:r>
      <w:r w:rsidRPr="00E8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энергичней, придают уверенность в движениях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A7DE4" w:rsidRPr="00E82D28" w:rsidRDefault="007A7DE4" w:rsidP="007A7DE4">
      <w:pPr>
        <w:numPr>
          <w:ilvl w:val="0"/>
          <w:numId w:val="1"/>
        </w:numPr>
        <w:spacing w:after="150" w:line="240" w:lineRule="auto"/>
        <w:ind w:left="375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активизируют мышечную силу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A7DE4" w:rsidRPr="00E82D28" w:rsidRDefault="007A7DE4" w:rsidP="007A7DE4">
      <w:pPr>
        <w:numPr>
          <w:ilvl w:val="0"/>
          <w:numId w:val="1"/>
        </w:numPr>
        <w:spacing w:after="150" w:line="240" w:lineRule="auto"/>
        <w:ind w:left="375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убирают последствия дефицита движений: холодные ноги, отеки, скованность суставов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A7DE4" w:rsidRPr="00E82D28" w:rsidRDefault="007A7DE4" w:rsidP="007A7DE4">
      <w:pPr>
        <w:numPr>
          <w:ilvl w:val="0"/>
          <w:numId w:val="1"/>
        </w:numPr>
        <w:spacing w:after="150" w:line="240" w:lineRule="auto"/>
        <w:ind w:left="375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активизируют работу мочевого пузыря и кишечника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A7DE4" w:rsidRPr="00A526FA" w:rsidRDefault="007A7DE4" w:rsidP="007A7DE4">
      <w:pPr>
        <w:numPr>
          <w:ilvl w:val="0"/>
          <w:numId w:val="1"/>
        </w:numPr>
        <w:spacing w:after="150" w:line="240" w:lineRule="auto"/>
        <w:ind w:left="375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улучшают общее физическое состояние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ребёнка</w:t>
      </w:r>
      <w:r w:rsidRPr="00E8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повышают мотивацию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526FA" w:rsidRDefault="00A526FA" w:rsidP="00A526FA">
      <w:pPr>
        <w:spacing w:after="150" w:line="240" w:lineRule="auto"/>
        <w:ind w:left="3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3341489"/>
            <wp:effectExtent l="0" t="0" r="3175" b="0"/>
            <wp:docPr id="11" name="Рисунок 11" descr="C:\Documents and Settings\Admin\Рабочий стол\Оборудование\20160125_111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Оборудование\20160125_11104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DE4" w:rsidRDefault="007A7DE4" w:rsidP="007A7DE4">
      <w:pPr>
        <w:pStyle w:val="a7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7A7DE4" w:rsidRDefault="007A7DE4" w:rsidP="007A7DE4">
      <w:pPr>
        <w:pStyle w:val="a7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7A7DE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4.Тактильная панель с декоративными элементами.</w:t>
      </w:r>
    </w:p>
    <w:p w:rsidR="007A7DE4" w:rsidRPr="007A7DE4" w:rsidRDefault="007A7DE4" w:rsidP="007A7DE4">
      <w:pPr>
        <w:pStyle w:val="a7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7A7DE4" w:rsidRDefault="007A7DE4" w:rsidP="007A7DE4">
      <w:pPr>
        <w:pStyle w:val="a7"/>
        <w:spacing w:after="15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DE4">
        <w:rPr>
          <w:rStyle w:val="a3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Тактильные ощущения</w:t>
      </w:r>
      <w:r w:rsidRPr="007A7DE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DE4">
        <w:rPr>
          <w:rFonts w:ascii="Times New Roman" w:hAnsi="Times New Roman" w:cs="Times New Roman"/>
          <w:sz w:val="24"/>
          <w:szCs w:val="24"/>
          <w:shd w:val="clear" w:color="auto" w:fill="FFFFFF"/>
        </w:rPr>
        <w:t>– это ощущения прикосновения. Наибольшая острота тактильной чувствительности характерна для частей тела, активно осуществляющих двигательные функции. Это кончики пальцев рук и ног. Ощущения прикосновения, или давления, возникают лишь в том случае, если механический разделитель вызывает деформацию поверхности кожи. При воздействии давления на участок кожи очень малых размеров наибольшая деформация возникает именно в месте непосредственного приложения раздражителя. Поэтому, такая панель со многими декоративными элементами, вызывающих раздражение кожи, отлично развивает мелкую моторику, а так же осязательные навыки. На нашей панели совмещено множество тактильных предметов различных цветов, форм и размеров, изготовленных из дерева, ткани, металла, пластика. К преимуществам тактильной панели можно отнести и корректировку зрения для детей с паталогией развития глаза.</w:t>
      </w:r>
    </w:p>
    <w:p w:rsidR="007A7DE4" w:rsidRDefault="00793953" w:rsidP="007A7DE4">
      <w:pPr>
        <w:pStyle w:val="a7"/>
        <w:spacing w:after="15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7" name="Рисунок 7" descr="C:\Documents and Settings\Admin\Рабочий стол\Оборудование\20160125_105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Оборудование\20160125_10554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DE4" w:rsidRDefault="007A7DE4" w:rsidP="007A7DE4">
      <w:pPr>
        <w:pStyle w:val="a7"/>
        <w:spacing w:after="15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7DE4" w:rsidRDefault="007A7DE4" w:rsidP="007A7DE4">
      <w:pPr>
        <w:spacing w:after="15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91799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5.Модуль настенный с 6 замочками и задвижками.</w:t>
      </w:r>
    </w:p>
    <w:p w:rsidR="007A7DE4" w:rsidRDefault="007A7DE4" w:rsidP="007A7DE4">
      <w:pPr>
        <w:spacing w:after="15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17994">
        <w:rPr>
          <w:rFonts w:ascii="Times New Roman" w:hAnsi="Times New Roman" w:cs="Times New Roman"/>
          <w:sz w:val="24"/>
          <w:szCs w:val="24"/>
        </w:rPr>
        <w:t>Настенный модуль, с шестью дверками, каждая дверка имеет свой замочек. Модуль предназначен для развития мелкой моторики, понимания ребенком причинно-следственных связей, освоения алгоритмов открывания и запирания различных бытовых замков. Усложнение задачи происходит за счет возможности постепенного освоения все более трудных алгоритмов, требующих зрительно-моторной и силовой координации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3953" w:rsidRDefault="00793953" w:rsidP="007A7DE4">
      <w:pPr>
        <w:spacing w:after="15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41489"/>
            <wp:effectExtent l="0" t="0" r="3175" b="0"/>
            <wp:docPr id="6" name="Рисунок 6" descr="C:\Documents and Settings\Admin\Рабочий стол\Оборудование\20160125_105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Оборудование\20160125_105510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953" w:rsidRDefault="00793953" w:rsidP="007A7DE4">
      <w:pPr>
        <w:spacing w:after="150" w:line="240" w:lineRule="auto"/>
        <w:ind w:left="3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7DE4" w:rsidRDefault="007A7DE4" w:rsidP="007A7DE4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172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7. Лабиринт дидактический.</w:t>
      </w:r>
    </w:p>
    <w:p w:rsidR="007A7DE4" w:rsidRDefault="007A7DE4" w:rsidP="007A7DE4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комплект входит:</w:t>
      </w:r>
    </w:p>
    <w:p w:rsidR="007A7DE4" w:rsidRDefault="007A7DE4" w:rsidP="007A7DE4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- 4 лабиринта разного уровня сложности, окрашенных в четыре основных цвета: красный, желтый, синий, зеленый.</w:t>
      </w:r>
    </w:p>
    <w:p w:rsidR="007A7DE4" w:rsidRDefault="007A7DE4" w:rsidP="007A7DE4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- 10 деревянных съёмных ручек для вождения по ним.</w:t>
      </w:r>
    </w:p>
    <w:p w:rsidR="007A7DE4" w:rsidRDefault="007A7DE4" w:rsidP="007A7DE4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работе двух рук, одновременно задействовано два полушария головного мозга.</w:t>
      </w:r>
    </w:p>
    <w:p w:rsidR="007A7DE4" w:rsidRDefault="007A7DE4" w:rsidP="007A7DE4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Лабиринты предназначены для развития запястья, руки и глаз к письму, путем выполнения различных движений, связанных с передвижением деревянных ручек по различным прорезям. В процессе работы ребёнок учится выполнять ряд простых последовательных действий, развивая тем самым зрительную и двигательную память, концентрацию и устойчивость внимания, наблюдательность, координацию движения рук, моторику. В работе сразу могут участвовать до 4 детей одновременно, с заменой лабиринтов.</w:t>
      </w:r>
    </w:p>
    <w:p w:rsidR="00793953" w:rsidRDefault="00793953" w:rsidP="007A7DE4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DE4" w:rsidRDefault="007A7DE4" w:rsidP="007A7DE4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007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8.Программно-аппаратный комплекс для психофизиологических исследований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007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ПАКПФ-02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7A7DE4" w:rsidRDefault="007A7DE4" w:rsidP="007A7DE4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Программно-аппаратный комплекс предназначен для анализа психофизиологического состояния ребёнка с помощью основных психофизиологических тестов. Позволяет выявить и объективно оценить скорость реакции и переключения внимания, сообразительность, утомляемость, выносливость, умственную работоспособность, уровень тревожности. Комплекс используется с целью изучения психомоторных, сенсорно-перцептивных особенностей, а так же для разработки индивидуальных программ обучения и коррекции нарушения развития. Основные психологические тесты:</w:t>
      </w:r>
    </w:p>
    <w:p w:rsidR="007A7DE4" w:rsidRDefault="007A7DE4" w:rsidP="007A7DE4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простая зрительно-моторная реакция;</w:t>
      </w:r>
    </w:p>
    <w:p w:rsidR="007A7DE4" w:rsidRDefault="007A7DE4" w:rsidP="007A7DE4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сложная зрительно-моторная реакция;</w:t>
      </w:r>
    </w:p>
    <w:p w:rsidR="007A7DE4" w:rsidRDefault="007A7DE4" w:rsidP="007A7DE4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подвижность нервных процессов;</w:t>
      </w:r>
    </w:p>
    <w:p w:rsidR="007A7DE4" w:rsidRDefault="007A7DE4" w:rsidP="007A7DE4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зрительного восприятия;</w:t>
      </w:r>
    </w:p>
    <w:p w:rsidR="007A7DE4" w:rsidRDefault="007A7DE4" w:rsidP="007A7DE4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методики изучения особенности нервной системы;</w:t>
      </w:r>
    </w:p>
    <w:p w:rsidR="007A7DE4" w:rsidRDefault="007A7DE4" w:rsidP="007A7DE4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методики изучения психических процессов.</w:t>
      </w:r>
    </w:p>
    <w:p w:rsidR="00793953" w:rsidRDefault="00793953" w:rsidP="007A7DE4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339858"/>
            <wp:effectExtent l="0" t="0" r="3175" b="0"/>
            <wp:docPr id="5" name="Рисунок 5" descr="C:\Documents and Settings\Admin\Рабочий стол\код ПАКПФ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код ПАКПФ.bmp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DE4" w:rsidRDefault="007A7DE4" w:rsidP="007A7DE4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DE4" w:rsidRPr="00846355" w:rsidRDefault="007A7DE4" w:rsidP="007A7DE4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63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9. Игровой набор 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Дары Фрё</w:t>
      </w:r>
      <w:r w:rsidRPr="008463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беля».</w:t>
      </w:r>
    </w:p>
    <w:p w:rsidR="007A7DE4" w:rsidRDefault="007A7DE4" w:rsidP="007A7DE4">
      <w:pPr>
        <w:spacing w:after="15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622BE">
        <w:rPr>
          <w:rFonts w:ascii="Times New Roman" w:hAnsi="Times New Roman" w:cs="Times New Roman"/>
          <w:color w:val="000000"/>
          <w:sz w:val="24"/>
          <w:szCs w:val="24"/>
        </w:rPr>
        <w:t>Набор изготовлен из качественного натурального материала (дерева и хлопка) и сопровождается комплектом методических пособий. В составе набора 14 модулей и комплект методических пособий (11 штук)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622BE">
        <w:rPr>
          <w:rFonts w:ascii="Times New Roman" w:hAnsi="Times New Roman" w:cs="Times New Roman"/>
          <w:color w:val="000000"/>
          <w:sz w:val="24"/>
          <w:szCs w:val="24"/>
        </w:rPr>
        <w:t>который  включает описание каждого модуля и 10 методиче</w:t>
      </w:r>
      <w:r w:rsidRPr="00E622BE">
        <w:rPr>
          <w:rFonts w:ascii="Times New Roman" w:hAnsi="Times New Roman" w:cs="Times New Roman"/>
          <w:color w:val="000000"/>
          <w:sz w:val="24"/>
          <w:szCs w:val="24"/>
        </w:rPr>
        <w:softHyphen/>
        <w:t>ских рекомендаций по образовательным областям (согласно Федеральным образовате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льным требованиям к структуре </w:t>
      </w:r>
      <w:r w:rsidRPr="00E622BE">
        <w:rPr>
          <w:rFonts w:ascii="Times New Roman" w:hAnsi="Times New Roman" w:cs="Times New Roman"/>
          <w:color w:val="000000"/>
          <w:sz w:val="24"/>
          <w:szCs w:val="24"/>
        </w:rPr>
        <w:t>школьной общеобразовательной программы) с комплектами карточек-игр (по 8 карточек к каждой образова</w:t>
      </w:r>
      <w:r w:rsidRPr="00E622BE">
        <w:rPr>
          <w:rFonts w:ascii="Times New Roman" w:hAnsi="Times New Roman" w:cs="Times New Roman"/>
          <w:color w:val="000000"/>
          <w:sz w:val="24"/>
          <w:szCs w:val="24"/>
        </w:rPr>
        <w:softHyphen/>
        <w:t>тельной области, всего 80 карточек)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7DE4" w:rsidRPr="00E622BE" w:rsidRDefault="007A7DE4" w:rsidP="007A7DE4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набор мы используем для:</w:t>
      </w:r>
    </w:p>
    <w:p w:rsidR="007A7DE4" w:rsidRPr="00E622BE" w:rsidRDefault="007A7DE4" w:rsidP="007A7DE4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социальных и коммуникативных умений;</w:t>
      </w:r>
    </w:p>
    <w:p w:rsidR="007A7DE4" w:rsidRPr="00E622BE" w:rsidRDefault="007A7DE4" w:rsidP="007A7DE4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сенсорного развития;</w:t>
      </w:r>
    </w:p>
    <w:p w:rsidR="007A7DE4" w:rsidRPr="00E622BE" w:rsidRDefault="007A7DE4" w:rsidP="007A7DE4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мелкой моторики;</w:t>
      </w:r>
    </w:p>
    <w:p w:rsidR="007A7DE4" w:rsidRPr="00E622BE" w:rsidRDefault="007A7DE4" w:rsidP="007A7DE4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познавательно-исследовательской и продуктивной (конструк</w:t>
      </w:r>
      <w:r w:rsidRPr="00E6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тивной) деятельности;</w:t>
      </w:r>
    </w:p>
    <w:p w:rsidR="007A7DE4" w:rsidRPr="00E622BE" w:rsidRDefault="007A7DE4" w:rsidP="007A7DE4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элементарных математических представлений;</w:t>
      </w:r>
    </w:p>
    <w:p w:rsidR="007A7DE4" w:rsidRDefault="007A7DE4" w:rsidP="007A7DE4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азвития логических способностей.</w:t>
      </w:r>
    </w:p>
    <w:p w:rsidR="007A7DE4" w:rsidRDefault="007A7DE4" w:rsidP="007A7D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4" name="Рисунок 4" descr="C:\Documents and Settings\Admin\Рабочий стол\Оборудование\20160125_105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Оборудование\20160125_105801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DE4" w:rsidRDefault="007A7DE4" w:rsidP="007A7D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DE4" w:rsidRDefault="007A7DE4" w:rsidP="007A7DE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 узких специалистов дети с удовольствием занимаются в сенсорной комнате, развивая, тем самым, свои возможности и способности.</w:t>
      </w:r>
    </w:p>
    <w:p w:rsidR="007A7DE4" w:rsidRDefault="007A7DE4" w:rsidP="007A7DE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приглашаем в нашу комнату детей с ограниченными возможностями здоровья; а так же учеников, имеющих трудности в обучении.</w:t>
      </w:r>
    </w:p>
    <w:p w:rsidR="00A526FA" w:rsidRPr="00A526FA" w:rsidRDefault="00A526FA" w:rsidP="007A7DE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3341489"/>
            <wp:effectExtent l="0" t="0" r="3175" b="0"/>
            <wp:docPr id="10" name="Рисунок 10" descr="C:\Documents and Settings\Admin\Рабочий стол\Оборудование\20160125_105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Оборудование\20160125_105430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DE4" w:rsidRDefault="00793953" w:rsidP="007A7DE4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8" name="Рисунок 8" descr="C:\Documents and Settings\Admin\Рабочий стол\Оборудование\20160122_115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Оборудование\20160122_115827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DE4" w:rsidRDefault="007A7DE4" w:rsidP="007A7DE4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7A7DE4" w:rsidRPr="00690BCA" w:rsidRDefault="007A7DE4" w:rsidP="007A7DE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A7DE4" w:rsidRPr="0069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07E78"/>
    <w:multiLevelType w:val="multilevel"/>
    <w:tmpl w:val="4BA4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CC464F"/>
    <w:multiLevelType w:val="multilevel"/>
    <w:tmpl w:val="FBC6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B3245F"/>
    <w:multiLevelType w:val="multilevel"/>
    <w:tmpl w:val="F198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CA"/>
    <w:rsid w:val="00621939"/>
    <w:rsid w:val="00642223"/>
    <w:rsid w:val="00690BCA"/>
    <w:rsid w:val="00793953"/>
    <w:rsid w:val="007A7DE4"/>
    <w:rsid w:val="007C60D1"/>
    <w:rsid w:val="00A526FA"/>
    <w:rsid w:val="00EE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0BCA"/>
    <w:rPr>
      <w:b/>
      <w:bCs/>
    </w:rPr>
  </w:style>
  <w:style w:type="character" w:customStyle="1" w:styleId="apple-converted-space">
    <w:name w:val="apple-converted-space"/>
    <w:basedOn w:val="a0"/>
    <w:rsid w:val="00690BCA"/>
  </w:style>
  <w:style w:type="paragraph" w:styleId="a4">
    <w:name w:val="Normal (Web)"/>
    <w:basedOn w:val="a"/>
    <w:uiPriority w:val="99"/>
    <w:unhideWhenUsed/>
    <w:rsid w:val="0069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BC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7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0BCA"/>
    <w:rPr>
      <w:b/>
      <w:bCs/>
    </w:rPr>
  </w:style>
  <w:style w:type="character" w:customStyle="1" w:styleId="apple-converted-space">
    <w:name w:val="apple-converted-space"/>
    <w:basedOn w:val="a0"/>
    <w:rsid w:val="00690BCA"/>
  </w:style>
  <w:style w:type="paragraph" w:styleId="a4">
    <w:name w:val="Normal (Web)"/>
    <w:basedOn w:val="a"/>
    <w:uiPriority w:val="99"/>
    <w:unhideWhenUsed/>
    <w:rsid w:val="0069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BC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7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9</cp:revision>
  <dcterms:created xsi:type="dcterms:W3CDTF">2016-01-25T07:34:00Z</dcterms:created>
  <dcterms:modified xsi:type="dcterms:W3CDTF">2016-01-26T03:18:00Z</dcterms:modified>
</cp:coreProperties>
</file>